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Abbreviations</w:t>
      </w:r>
      <w:r>
        <w:t xml:space="preserve"> </w:t>
      </w:r>
      <w:r>
        <w:t xml:space="preserve">and</w:t>
      </w:r>
      <w:r>
        <w:t xml:space="preserve"> </w:t>
      </w:r>
      <w:r>
        <w:t xml:space="preserve">glossary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Reference</w:t>
        </w:r>
      </w:hyperlink>
      <w:r>
        <w:t xml:space="preserve"> </w:t>
      </w:r>
      <w:hyperlink r:id="rId21">
        <w:r>
          <w:rPr>
            <w:rStyle w:val="Hyperlink"/>
          </w:rPr>
          <w:t xml:space="preserve">Terminology</w:t>
        </w:r>
      </w:hyperlink>
    </w:p>
    <w:bookmarkStart w:id="25" w:name="abbreviations-and-glossary"/>
    <w:p>
      <w:pPr>
        <w:pStyle w:val="Heading1"/>
      </w:pPr>
      <w:r>
        <w:t xml:space="preserve">Abbreviations and glossary</w:t>
      </w:r>
      <w:hyperlink w:anchor="abbreviations-and-glossary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page provides visible definitions for abbreviations used throughout the documentation.</w:t>
      </w:r>
    </w:p>
    <w:p>
      <w:pPr>
        <w:pStyle w:val="BodyText"/>
      </w:pPr>
      <w:r>
        <w:t xml:space="preserve">Hover tooltips</w:t>
      </w:r>
    </w:p>
    <w:p>
      <w:pPr>
        <w:pStyle w:val="BodyText"/>
      </w:pPr>
      <w:r>
        <w:t xml:space="preserve">On other pages, hover over supported abbreviations such as</w:t>
      </w:r>
      <w:r>
        <w:t xml:space="preserve"> </w:t>
      </w:r>
      <w:r>
        <w:rPr>
          <w:bCs/>
          <w:b/>
        </w:rPr>
        <w:t xml:space="preserve">AI</w:t>
      </w:r>
      <w:r>
        <w:t xml:space="preserve">,</w:t>
      </w:r>
      <w:r>
        <w:t xml:space="preserve"> </w:t>
      </w:r>
      <w:r>
        <w:rPr>
          <w:bCs/>
          <w:b/>
        </w:rPr>
        <w:t xml:space="preserve">API</w:t>
      </w:r>
      <w:r>
        <w:t xml:space="preserve">,</w:t>
      </w:r>
      <w:r>
        <w:t xml:space="preserve"> </w:t>
      </w:r>
      <w:r>
        <w:rPr>
          <w:bCs/>
          <w:b/>
        </w:rPr>
        <w:t xml:space="preserve">CI/CD</w:t>
      </w:r>
      <w:r>
        <w:t xml:space="preserve">,</w:t>
      </w:r>
      <w:r>
        <w:t xml:space="preserve"> </w:t>
      </w:r>
      <w:r>
        <w:rPr>
          <w:bCs/>
          <w:b/>
        </w:rPr>
        <w:t xml:space="preserve">RAG</w:t>
      </w:r>
      <w:r>
        <w:t xml:space="preserve">, and</w:t>
      </w:r>
      <w:r>
        <w:t xml:space="preserve"> </w:t>
      </w:r>
      <w:r>
        <w:rPr>
          <w:bCs/>
          <w:b/>
        </w:rPr>
        <w:t xml:space="preserve">SME</w:t>
      </w:r>
      <w:r>
        <w:t xml:space="preserve"> </w:t>
      </w:r>
      <w:r>
        <w:t xml:space="preserve">to see their definitions. The tooltip definitions are maintained in</w:t>
      </w:r>
      <w:r>
        <w:t xml:space="preserve"> </w:t>
      </w:r>
      <w:r>
        <w:rPr>
          <w:rStyle w:val="VerbatimChar"/>
        </w:rPr>
        <w:t xml:space="preserve">includes/abbreviations.md</w:t>
      </w:r>
      <w:r>
        <w:t xml:space="preserve">.</w:t>
      </w:r>
    </w:p>
    <w:bookmarkStart w:id="22" w:name="common-abbreviations"/>
    <w:p>
      <w:pPr>
        <w:pStyle w:val="Heading2"/>
      </w:pPr>
      <w:r>
        <w:t xml:space="preserve">Common abbreviations</w:t>
      </w:r>
      <w:hyperlink w:anchor="common-abbreviations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Abbreviation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Typical 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Artificial intelligence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or assisted documentation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Application programming interface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Connecting applications and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CI/CD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Continuous integration and continuous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Automated validation, build, and publishing workflows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GDPR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Data Protection Regulation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data-protection requirements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HIPAA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Portability and Accountability 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healthcare-data requirements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PDPL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Data Protection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Personal-data protection requirements, including the UAE framework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Retrieval-augmented generation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Supplying approved source content to an AI system before generation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Subject-matter expert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person who validates technical accuracy</w:t>
            </w:r>
          </w:p>
        </w:tc>
      </w:tr>
    </w:tbl>
    <w:bookmarkEnd w:id="22"/>
    <w:bookmarkStart w:id="23" w:name="workflow-terms"/>
    <w:p>
      <w:pPr>
        <w:pStyle w:val="Heading2"/>
      </w:pPr>
      <w:r>
        <w:t xml:space="preserve">Workflow terms</w:t>
      </w:r>
      <w:hyperlink w:anchor="workflow-terms">
        <w:r>
          <w:rPr>
            <w:rStyle w:val="Hyperlink"/>
          </w:rPr>
          <w:t xml:space="preserve">¶</w:t>
        </w:r>
      </w:hyperlink>
    </w:p>
    <w:p>
      <w:pPr>
        <w:pStyle w:val="DefinitionTerm"/>
      </w:pPr>
      <w:r>
        <w:t xml:space="preserve">Docs-as-Code</w:t>
      </w:r>
    </w:p>
    <w:p>
      <w:pPr>
        <w:pStyle w:val="Definition"/>
      </w:pPr>
      <w:r>
        <w:t xml:space="preserve">A documentation approach that uses text-based source files, version control, automated checks, reviews, and publishing pipelines.</w:t>
      </w:r>
    </w:p>
    <w:p>
      <w:pPr>
        <w:pStyle w:val="DefinitionTerm"/>
      </w:pPr>
      <w:r>
        <w:t xml:space="preserve">Human review</w:t>
      </w:r>
    </w:p>
    <w:p>
      <w:pPr>
        <w:pStyle w:val="Definition"/>
      </w:pPr>
      <w:r>
        <w:t xml:space="preserve">The final editorial or technical decision made by an authorised reviewer after automated checks complete.</w:t>
      </w:r>
    </w:p>
    <w:p>
      <w:pPr>
        <w:pStyle w:val="DefinitionTerm"/>
      </w:pPr>
      <w:r>
        <w:t xml:space="preserve">Pull Request</w:t>
      </w:r>
    </w:p>
    <w:p>
      <w:pPr>
        <w:pStyle w:val="Definition"/>
      </w:pPr>
      <w:r>
        <w:t xml:space="preserve">A proposed set of repository changes submitted for automated checks and human review before merge.</w:t>
      </w:r>
    </w:p>
    <w:p>
      <w:pPr>
        <w:pStyle w:val="DefinitionTerm"/>
      </w:pPr>
      <w:r>
        <w:t xml:space="preserve">Vale</w:t>
      </w:r>
    </w:p>
    <w:p>
      <w:pPr>
        <w:pStyle w:val="Definition"/>
      </w:pPr>
      <w:r>
        <w:t xml:space="preserve">A configurable prose linter used to identify terminology, spelling, grammar, and style-guide deviations.</w:t>
      </w:r>
    </w:p>
    <w:bookmarkEnd w:id="23"/>
    <w:bookmarkStart w:id="24" w:name="example"/>
    <w:p>
      <w:pPr>
        <w:pStyle w:val="Heading2"/>
      </w:pPr>
      <w:r>
        <w:t xml:space="preserve">Example</w:t>
      </w:r>
      <w:hyperlink w:anchor="exampl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An SME reviews the RAG source content after the CI/CD workflow completes its automated checks. The API integration can then publish the approved documentation.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reference" TargetMode="External" /><Relationship Type="http://schemas.openxmlformats.org/officeDocument/2006/relationships/hyperlink" Id="rId21" Target="../tags/#tag:terminolog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reference" TargetMode="External" /><Relationship Type="http://schemas.openxmlformats.org/officeDocument/2006/relationships/hyperlink" Id="rId21" Target="../tags/#tag:terminolog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Abbreviations and glossary - Scriptorium Lab Services Documentation</dc:title>
  <dc:creator/>
  <cp:keywords/>
  <dcterms:created xsi:type="dcterms:W3CDTF">2026-08-09T19:58:24Z</dcterms:created>
  <dcterms:modified xsi:type="dcterms:W3CDTF">2026-08-09T19:58:24Z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